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Georgia" w:cs="Georgia" w:eastAsia="Georgia" w:hAnsi="Georgia"/>
          <w:b/>
          <w:bCs/>
          <w:color w:val="3d2b1f"/>
          <w:sz w:val="36"/>
          <w:szCs w:val="36"/>
        </w:rPr>
        <w:t xml:space="preserve">Guide des Brunchs</w:t>
      </w:r>
    </w:p>
    <w:p>
      <w:pPr>
        <w:spacing w:after="40" w:before="0"/>
        <w:jc w:val="center"/>
      </w:pPr>
      <w:r>
        <w:rPr>
          <w:rFonts w:ascii="Arial" w:cs="Arial" w:eastAsia="Arial" w:hAnsi="Arial"/>
          <w:color w:val="c4913a"/>
          <w:sz w:val="20"/>
          <w:szCs w:val="20"/>
        </w:rPr>
        <w:t xml:space="preserve">guidedesbrunchs.ch</w:t>
      </w:r>
    </w:p>
    <w:p>
      <w:pPr>
        <w:spacing w:after="400" w:before="0"/>
        <w:jc w:val="center"/>
      </w:pPr>
      <w:r>
        <w:rPr>
          <w:rFonts w:ascii="Arial" w:cs="Arial" w:eastAsia="Arial" w:hAnsi="Arial"/>
          <w:b/>
          <w:bCs/>
          <w:color w:val="7a6050"/>
          <w:sz w:val="26"/>
          <w:szCs w:val="26"/>
        </w:rPr>
        <w:t xml:space="preserve">Conditions Générales d’Utilisation</w:t>
      </w:r>
    </w:p>
    <w:p>
      <w:pPr>
        <w:spacing w:after="600" w:before="0"/>
        <w:jc w:val="center"/>
      </w:pPr>
      <w:r>
        <w:rPr>
          <w:rFonts w:ascii="Arial" w:cs="Arial" w:eastAsia="Arial" w:hAnsi="Arial"/>
          <w:i/>
          <w:iCs/>
          <w:color w:val="9a7b5a"/>
          <w:sz w:val="20"/>
          <w:szCs w:val="20"/>
        </w:rPr>
        <w:t xml:space="preserve">Version en vigueur au 1er avril 2025</w:t>
      </w:r>
    </w:p>
    <w:p>
      <w:pPr>
        <w:pBdr>
          <w:bottom w:val="single" w:color="e0d5c5" w:sz="4" w:space="1"/>
        </w:pBdr>
        <w:spacing w:after="200" w:before="200"/>
      </w:pPr>
      <w:r>
        <w:t xml:space="preserve"/>
      </w:r>
    </w:p>
    <w:p>
      <w:pPr>
        <w:pStyle w:val="Heading1"/>
        <w:spacing w:after="120" w:before="360"/>
      </w:pPr>
      <w:r>
        <w:rPr>
          <w:rFonts w:ascii="Arial" w:cs="Arial" w:eastAsia="Arial" w:hAnsi="Arial"/>
          <w:b/>
          <w:bCs/>
          <w:color w:val="3d2b1f"/>
          <w:sz w:val="28"/>
          <w:szCs w:val="28"/>
        </w:rPr>
        <w:t xml:space="preserve">1. Objet</w:t>
      </w:r>
    </w:p>
    <w:p>
      <w:pPr>
        <w:spacing w:after="80" w:before="80"/>
      </w:pPr>
      <w:r>
        <w:rPr>
          <w:rFonts w:ascii="Arial" w:cs="Arial" w:eastAsia="Arial" w:hAnsi="Arial"/>
          <w:color w:val="333333"/>
          <w:sz w:val="22"/>
          <w:szCs w:val="22"/>
        </w:rPr>
        <w:t xml:space="preserve">Les présentes Conditions Générales d’Utilisation (CGU) définissent les règles d’accès et d’utilisation du site guidedesbrunchs.ch. Elles complètent les Mentions Légales disponibles sur le même site, auxquelles elles renvoient pour toute information relative à l’éditeur et à l’hébergeur.</w:t>
      </w:r>
    </w:p>
    <w:p>
      <w:pPr>
        <w:spacing w:after="80" w:before="80"/>
      </w:pPr>
      <w:r>
        <w:rPr>
          <w:rFonts w:ascii="Arial" w:cs="Arial" w:eastAsia="Arial" w:hAnsi="Arial"/>
          <w:color w:val="333333"/>
          <w:sz w:val="22"/>
          <w:szCs w:val="22"/>
        </w:rPr>
        <w:t xml:space="preserve">L’accès au site vaut acceptation pleine et entière des présentes CGU. Guide des Brunchs se réserve le droit de les modifier à tout moment ; les modifications prennent effet dès leur publication.</w:t>
      </w:r>
    </w:p>
    <w:p>
      <w:pPr>
        <w:pBdr>
          <w:bottom w:val="single" w:color="e0d5c5" w:sz="4" w:space="1"/>
        </w:pBdr>
        <w:spacing w:after="200" w:before="200"/>
      </w:pPr>
      <w:r>
        <w:t xml:space="preserve"/>
      </w:r>
    </w:p>
    <w:p>
      <w:pPr>
        <w:pStyle w:val="Heading1"/>
        <w:spacing w:after="120" w:before="360"/>
      </w:pPr>
      <w:r>
        <w:rPr>
          <w:rFonts w:ascii="Arial" w:cs="Arial" w:eastAsia="Arial" w:hAnsi="Arial"/>
          <w:b/>
          <w:bCs/>
          <w:color w:val="3d2b1f"/>
          <w:sz w:val="28"/>
          <w:szCs w:val="28"/>
        </w:rPr>
        <w:t xml:space="preserve">2. Accès au site</w:t>
      </w:r>
    </w:p>
    <w:p>
      <w:pPr>
        <w:spacing w:after="80" w:before="80"/>
      </w:pPr>
      <w:r>
        <w:rPr>
          <w:rFonts w:ascii="Arial" w:cs="Arial" w:eastAsia="Arial" w:hAnsi="Arial"/>
          <w:color w:val="333333"/>
          <w:sz w:val="22"/>
          <w:szCs w:val="22"/>
        </w:rPr>
        <w:t xml:space="preserve">Le site est accessible gratuitement à tout utilisateur disposant d’un accès Internet. Les coûts de connexion et de matériel sont à la charge exclusive de l’utilisateur.</w:t>
      </w:r>
    </w:p>
    <w:p>
      <w:pPr>
        <w:spacing w:after="80" w:before="80"/>
      </w:pPr>
      <w:r>
        <w:rPr>
          <w:rFonts w:ascii="Arial" w:cs="Arial" w:eastAsia="Arial" w:hAnsi="Arial"/>
          <w:color w:val="333333"/>
          <w:sz w:val="22"/>
          <w:szCs w:val="22"/>
        </w:rPr>
        <w:t xml:space="preserve">Guide des Brunchs ne garantit pas une disponibilité continue du site et ne saurait être tenu responsable d’interruptions dues à des opérations de maintenance ou à des incidents techniques.</w:t>
      </w:r>
    </w:p>
    <w:p>
      <w:pPr>
        <w:pBdr>
          <w:bottom w:val="single" w:color="e0d5c5" w:sz="4" w:space="1"/>
        </w:pBdr>
        <w:spacing w:after="200" w:before="200"/>
      </w:pPr>
      <w:r>
        <w:t xml:space="preserve"/>
      </w:r>
    </w:p>
    <w:p>
      <w:pPr>
        <w:pStyle w:val="Heading1"/>
        <w:spacing w:after="120" w:before="360"/>
      </w:pPr>
      <w:r>
        <w:rPr>
          <w:rFonts w:ascii="Arial" w:cs="Arial" w:eastAsia="Arial" w:hAnsi="Arial"/>
          <w:b/>
          <w:bCs/>
          <w:color w:val="3d2b1f"/>
          <w:sz w:val="28"/>
          <w:szCs w:val="28"/>
        </w:rPr>
        <w:t xml:space="preserve">3. Contenu et informations</w:t>
      </w:r>
    </w:p>
    <w:p>
      <w:pPr>
        <w:pStyle w:val="Heading2"/>
        <w:spacing w:after="80" w:before="240"/>
      </w:pPr>
      <w:r>
        <w:rPr>
          <w:rFonts w:ascii="Arial" w:cs="Arial" w:eastAsia="Arial" w:hAnsi="Arial"/>
          <w:b/>
          <w:bCs/>
          <w:color w:val="3d2b1f"/>
          <w:sz w:val="24"/>
          <w:szCs w:val="24"/>
        </w:rPr>
        <w:t xml:space="preserve">3.1 Fiabilité des informations</w:t>
      </w:r>
    </w:p>
    <w:p>
      <w:pPr>
        <w:spacing w:after="80" w:before="80"/>
      </w:pPr>
      <w:r>
        <w:rPr>
          <w:rFonts w:ascii="Arial" w:cs="Arial" w:eastAsia="Arial" w:hAnsi="Arial"/>
          <w:color w:val="333333"/>
          <w:sz w:val="22"/>
          <w:szCs w:val="22"/>
        </w:rPr>
        <w:t xml:space="preserve">Guide des Brunchs s’efforce de publier des informations exactes et à jour. Cependant, aucune garantie ne peut être donnée concernant :</w:t>
      </w:r>
    </w:p>
    <w:p>
      <w:pPr>
        <w:pStyle w:val="ListParagraph"/>
        <w:numPr>
          <w:ilvl w:val="0"/>
          <w:numId w:val="2"/>
        </w:numPr>
        <w:spacing w:after="40" w:before="40"/>
      </w:pPr>
      <w:r>
        <w:rPr>
          <w:rFonts w:ascii="Arial" w:cs="Arial" w:eastAsia="Arial" w:hAnsi="Arial"/>
          <w:color w:val="333333"/>
          <w:sz w:val="22"/>
          <w:szCs w:val="22"/>
        </w:rPr>
        <w:t xml:space="preserve">Les horaires d’ouverture des établissements</w:t>
      </w:r>
    </w:p>
    <w:p>
      <w:pPr>
        <w:pStyle w:val="ListParagraph"/>
        <w:numPr>
          <w:ilvl w:val="0"/>
          <w:numId w:val="2"/>
        </w:numPr>
        <w:spacing w:after="40" w:before="40"/>
      </w:pPr>
      <w:r>
        <w:rPr>
          <w:rFonts w:ascii="Arial" w:cs="Arial" w:eastAsia="Arial" w:hAnsi="Arial"/>
          <w:color w:val="333333"/>
          <w:sz w:val="22"/>
          <w:szCs w:val="22"/>
        </w:rPr>
        <w:t xml:space="preserve">Les tarifs et formules proposées</w:t>
      </w:r>
    </w:p>
    <w:p>
      <w:pPr>
        <w:pStyle w:val="ListParagraph"/>
        <w:numPr>
          <w:ilvl w:val="0"/>
          <w:numId w:val="2"/>
        </w:numPr>
        <w:spacing w:after="40" w:before="40"/>
      </w:pPr>
      <w:r>
        <w:rPr>
          <w:rFonts w:ascii="Arial" w:cs="Arial" w:eastAsia="Arial" w:hAnsi="Arial"/>
          <w:color w:val="333333"/>
          <w:sz w:val="22"/>
          <w:szCs w:val="22"/>
        </w:rPr>
        <w:t xml:space="preserve">La disponibilité et le contenu des menus</w:t>
      </w:r>
    </w:p>
    <w:p>
      <w:pPr>
        <w:pStyle w:val="ListParagraph"/>
        <w:numPr>
          <w:ilvl w:val="0"/>
          <w:numId w:val="2"/>
        </w:numPr>
        <w:spacing w:after="40" w:before="40"/>
      </w:pPr>
      <w:r>
        <w:rPr>
          <w:rFonts w:ascii="Arial" w:cs="Arial" w:eastAsia="Arial" w:hAnsi="Arial"/>
          <w:color w:val="333333"/>
          <w:sz w:val="22"/>
          <w:szCs w:val="22"/>
        </w:rPr>
        <w:t xml:space="preserve">Les coordonnées des établissements</w:t>
      </w:r>
    </w:p>
    <w:p>
      <w:pPr>
        <w:spacing w:after="80" w:before="80"/>
      </w:pPr>
      <w:r>
        <w:rPr>
          <w:rFonts w:ascii="Arial" w:cs="Arial" w:eastAsia="Arial" w:hAnsi="Arial"/>
          <w:color w:val="333333"/>
          <w:sz w:val="22"/>
          <w:szCs w:val="22"/>
        </w:rPr>
        <w:t xml:space="preserve">Il est conseillé de contacter directement l’établissement avant tout déplacement.</w:t>
      </w:r>
    </w:p>
    <w:p>
      <w:pPr>
        <w:pStyle w:val="Heading2"/>
        <w:spacing w:after="80" w:before="240"/>
      </w:pPr>
      <w:r>
        <w:rPr>
          <w:rFonts w:ascii="Arial" w:cs="Arial" w:eastAsia="Arial" w:hAnsi="Arial"/>
          <w:b/>
          <w:bCs/>
          <w:color w:val="3d2b1f"/>
          <w:sz w:val="24"/>
          <w:szCs w:val="24"/>
        </w:rPr>
        <w:t xml:space="preserve">3.2 Proposer un établissement</w:t>
      </w:r>
    </w:p>
    <w:p>
      <w:pPr>
        <w:spacing w:after="80" w:before="80"/>
      </w:pPr>
      <w:r>
        <w:rPr>
          <w:rFonts w:ascii="Arial" w:cs="Arial" w:eastAsia="Arial" w:hAnsi="Arial"/>
          <w:color w:val="333333"/>
          <w:sz w:val="22"/>
          <w:szCs w:val="22"/>
        </w:rPr>
        <w:t xml:space="preserve">Les propriétaires ou gérants souhaitant figurer sur le site peuvent en faire la demande via le formulaire de contact. Guide des Brunchs se réserve le droit d’accepter ou de refuser toute demande de référencement, sans obligation de motivation.</w:t>
      </w:r>
    </w:p>
    <w:p>
      <w:pPr>
        <w:pBdr>
          <w:bottom w:val="single" w:color="e0d5c5" w:sz="4" w:space="1"/>
        </w:pBdr>
        <w:spacing w:after="200" w:before="200"/>
      </w:pPr>
      <w:r>
        <w:t xml:space="preserve"/>
      </w:r>
    </w:p>
    <w:p>
      <w:pPr>
        <w:pStyle w:val="Heading1"/>
        <w:spacing w:after="120" w:before="360"/>
      </w:pPr>
      <w:r>
        <w:rPr>
          <w:rFonts w:ascii="Arial" w:cs="Arial" w:eastAsia="Arial" w:hAnsi="Arial"/>
          <w:b/>
          <w:bCs/>
          <w:color w:val="3d2b1f"/>
          <w:sz w:val="28"/>
          <w:szCs w:val="28"/>
        </w:rPr>
        <w:t xml:space="preserve">4. Propriété intellectuelle</w:t>
      </w:r>
    </w:p>
    <w:p>
      <w:pPr>
        <w:spacing w:after="80" w:before="80"/>
      </w:pPr>
      <w:r>
        <w:rPr>
          <w:rFonts w:ascii="Arial" w:cs="Arial" w:eastAsia="Arial" w:hAnsi="Arial"/>
          <w:color w:val="333333"/>
          <w:sz w:val="22"/>
          <w:szCs w:val="22"/>
        </w:rPr>
        <w:t xml:space="preserve">L’ensemble des contenus du site (textes, photographies, illustrations, logo, charte graphique, mise en page) sont la propriété de Guide des Brunchs ou de leurs auteurs respectifs, et protégés par le droit suisse et les conventions internationales sur la propriété intellectuelle.</w:t>
      </w:r>
    </w:p>
    <w:p>
      <w:pPr>
        <w:spacing w:after="80" w:before="80"/>
      </w:pPr>
      <w:r>
        <w:rPr>
          <w:rFonts w:ascii="Arial" w:cs="Arial" w:eastAsia="Arial" w:hAnsi="Arial"/>
          <w:color w:val="333333"/>
          <w:sz w:val="22"/>
          <w:szCs w:val="22"/>
        </w:rPr>
        <w:t xml:space="preserve">Toute reproduction, même partielle, est interdite sans autorisation écrite préalable, sauf :</w:t>
      </w:r>
    </w:p>
    <w:p>
      <w:pPr>
        <w:pStyle w:val="ListParagraph"/>
        <w:numPr>
          <w:ilvl w:val="0"/>
          <w:numId w:val="2"/>
        </w:numPr>
        <w:spacing w:after="40" w:before="40"/>
      </w:pPr>
      <w:r>
        <w:rPr>
          <w:rFonts w:ascii="Arial" w:cs="Arial" w:eastAsia="Arial" w:hAnsi="Arial"/>
          <w:color w:val="333333"/>
          <w:sz w:val="22"/>
          <w:szCs w:val="22"/>
        </w:rPr>
        <w:t xml:space="preserve">Usage strictement privé et non commercial</w:t>
      </w:r>
    </w:p>
    <w:p>
      <w:pPr>
        <w:pStyle w:val="ListParagraph"/>
        <w:numPr>
          <w:ilvl w:val="0"/>
          <w:numId w:val="2"/>
        </w:numPr>
        <w:spacing w:after="40" w:before="40"/>
      </w:pPr>
      <w:r>
        <w:rPr>
          <w:rFonts w:ascii="Arial" w:cs="Arial" w:eastAsia="Arial" w:hAnsi="Arial"/>
          <w:color w:val="333333"/>
          <w:sz w:val="22"/>
          <w:szCs w:val="22"/>
        </w:rPr>
        <w:t xml:space="preserve">Partage d’un lien vers le site dans le respect des usages du web</w:t>
      </w:r>
    </w:p>
    <w:p>
      <w:pPr>
        <w:pBdr>
          <w:bottom w:val="single" w:color="e0d5c5" w:sz="4" w:space="1"/>
        </w:pBdr>
        <w:spacing w:after="200" w:before="200"/>
      </w:pPr>
      <w:r>
        <w:t xml:space="preserve"/>
      </w:r>
    </w:p>
    <w:p>
      <w:pPr>
        <w:pStyle w:val="Heading1"/>
        <w:spacing w:after="120" w:before="360"/>
      </w:pPr>
      <w:r>
        <w:rPr>
          <w:rFonts w:ascii="Arial" w:cs="Arial" w:eastAsia="Arial" w:hAnsi="Arial"/>
          <w:b/>
          <w:bCs/>
          <w:color w:val="3d2b1f"/>
          <w:sz w:val="28"/>
          <w:szCs w:val="28"/>
        </w:rPr>
        <w:t xml:space="preserve">5. Newsletter</w:t>
      </w:r>
    </w:p>
    <w:p>
      <w:pPr>
        <w:spacing w:after="80" w:before="80"/>
      </w:pPr>
      <w:r>
        <w:rPr>
          <w:rFonts w:ascii="Arial" w:cs="Arial" w:eastAsia="Arial" w:hAnsi="Arial"/>
          <w:color w:val="333333"/>
          <w:sz w:val="22"/>
          <w:szCs w:val="22"/>
        </w:rPr>
        <w:t xml:space="preserve">En s’inscrivant à la newsletter, l’utilisateur accepte de recevoir des communications de Guide des Brunchs relatives aux adresses brunch de Suisse romande, à raison de quatre éditions par an au maximum.</w:t>
      </w:r>
    </w:p>
    <w:p>
      <w:pPr>
        <w:spacing w:after="80" w:before="80"/>
      </w:pPr>
      <w:r>
        <w:rPr>
          <w:rFonts w:ascii="Arial" w:cs="Arial" w:eastAsia="Arial" w:hAnsi="Arial"/>
          <w:color w:val="333333"/>
          <w:sz w:val="22"/>
          <w:szCs w:val="22"/>
        </w:rPr>
        <w:t xml:space="preserve">L’adresse e-mail collectée est utilisée exclusivement à cet effet. La désinscription est possible à tout moment via le lien figurant dans chaque envoi.</w:t>
      </w:r>
    </w:p>
    <w:p>
      <w:pPr>
        <w:pBdr>
          <w:bottom w:val="single" w:color="e0d5c5" w:sz="4" w:space="1"/>
        </w:pBdr>
        <w:spacing w:after="200" w:before="200"/>
      </w:pPr>
      <w:r>
        <w:t xml:space="preserve"/>
      </w:r>
    </w:p>
    <w:p>
      <w:pPr>
        <w:pStyle w:val="Heading1"/>
        <w:spacing w:after="120" w:before="360"/>
      </w:pPr>
      <w:r>
        <w:rPr>
          <w:rFonts w:ascii="Arial" w:cs="Arial" w:eastAsia="Arial" w:hAnsi="Arial"/>
          <w:b/>
          <w:bCs/>
          <w:color w:val="3d2b1f"/>
          <w:sz w:val="28"/>
          <w:szCs w:val="28"/>
        </w:rPr>
        <w:t xml:space="preserve">6. Données personnelles</w:t>
      </w:r>
    </w:p>
    <w:p>
      <w:pPr>
        <w:pStyle w:val="Heading2"/>
        <w:spacing w:after="80" w:before="240"/>
      </w:pPr>
      <w:r>
        <w:rPr>
          <w:rFonts w:ascii="Arial" w:cs="Arial" w:eastAsia="Arial" w:hAnsi="Arial"/>
          <w:b/>
          <w:bCs/>
          <w:color w:val="3d2b1f"/>
          <w:sz w:val="24"/>
          <w:szCs w:val="24"/>
        </w:rPr>
        <w:t xml:space="preserve">6.1 Données collectées</w:t>
      </w:r>
    </w:p>
    <w:p>
      <w:pPr>
        <w:spacing w:after="80" w:before="80"/>
      </w:pPr>
      <w:r>
        <w:rPr>
          <w:rFonts w:ascii="Arial" w:cs="Arial" w:eastAsia="Arial" w:hAnsi="Arial"/>
          <w:color w:val="333333"/>
          <w:sz w:val="22"/>
          <w:szCs w:val="22"/>
        </w:rPr>
        <w:t xml:space="preserve">Le site peut collecter les données suivantes :</w:t>
      </w:r>
    </w:p>
    <w:p>
      <w:pPr>
        <w:pStyle w:val="ListParagraph"/>
        <w:numPr>
          <w:ilvl w:val="0"/>
          <w:numId w:val="2"/>
        </w:numPr>
        <w:spacing w:after="40" w:before="40"/>
      </w:pPr>
      <w:r>
        <w:rPr>
          <w:rFonts w:ascii="Arial" w:cs="Arial" w:eastAsia="Arial" w:hAnsi="Arial"/>
          <w:color w:val="333333"/>
          <w:sz w:val="22"/>
          <w:szCs w:val="22"/>
        </w:rPr>
        <w:t xml:space="preserve">Adresse e-mail (newsletter et formulaire de contact)</w:t>
      </w:r>
    </w:p>
    <w:p>
      <w:pPr>
        <w:pStyle w:val="ListParagraph"/>
        <w:numPr>
          <w:ilvl w:val="0"/>
          <w:numId w:val="2"/>
        </w:numPr>
        <w:spacing w:after="40" w:before="40"/>
      </w:pPr>
      <w:r>
        <w:rPr>
          <w:rFonts w:ascii="Arial" w:cs="Arial" w:eastAsia="Arial" w:hAnsi="Arial"/>
          <w:color w:val="333333"/>
          <w:sz w:val="22"/>
          <w:szCs w:val="22"/>
        </w:rPr>
        <w:t xml:space="preserve">Nom et prénom (formulaire de contact)</w:t>
      </w:r>
    </w:p>
    <w:p>
      <w:pPr>
        <w:pStyle w:val="ListParagraph"/>
        <w:numPr>
          <w:ilvl w:val="0"/>
          <w:numId w:val="2"/>
        </w:numPr>
        <w:spacing w:after="40" w:before="40"/>
      </w:pPr>
      <w:r>
        <w:rPr>
          <w:rFonts w:ascii="Arial" w:cs="Arial" w:eastAsia="Arial" w:hAnsi="Arial"/>
          <w:color w:val="333333"/>
          <w:sz w:val="22"/>
          <w:szCs w:val="22"/>
        </w:rPr>
        <w:t xml:space="preserve">Données de navigation (cookies, adresse IP, pages visitées)</w:t>
      </w:r>
    </w:p>
    <w:p>
      <w:pPr>
        <w:pStyle w:val="Heading2"/>
        <w:spacing w:after="80" w:before="240"/>
      </w:pPr>
      <w:r>
        <w:rPr>
          <w:rFonts w:ascii="Arial" w:cs="Arial" w:eastAsia="Arial" w:hAnsi="Arial"/>
          <w:b/>
          <w:bCs/>
          <w:color w:val="3d2b1f"/>
          <w:sz w:val="24"/>
          <w:szCs w:val="24"/>
        </w:rPr>
        <w:t xml:space="preserve">6.2 Cadre légal</w:t>
      </w:r>
    </w:p>
    <w:p>
      <w:pPr>
        <w:spacing w:after="80" w:before="80"/>
      </w:pPr>
      <w:r>
        <w:rPr>
          <w:rFonts w:ascii="Arial" w:cs="Arial" w:eastAsia="Arial" w:hAnsi="Arial"/>
          <w:color w:val="333333"/>
          <w:sz w:val="22"/>
          <w:szCs w:val="22"/>
        </w:rPr>
        <w:t xml:space="preserve">Le traitement des données personnelles est effectué conformément à la Loi fédérale suisse sur la protection des données (nLPD, en vigueur depuis le 1er septembre 2023) et, pour les utilisateurs résidant dans l’UE, au Règlement Général sur la Protection des Données (RGPD).</w:t>
      </w:r>
    </w:p>
    <w:p>
      <w:pPr>
        <w:pStyle w:val="Heading2"/>
        <w:spacing w:after="80" w:before="240"/>
      </w:pPr>
      <w:r>
        <w:rPr>
          <w:rFonts w:ascii="Arial" w:cs="Arial" w:eastAsia="Arial" w:hAnsi="Arial"/>
          <w:b/>
          <w:bCs/>
          <w:color w:val="3d2b1f"/>
          <w:sz w:val="24"/>
          <w:szCs w:val="24"/>
        </w:rPr>
        <w:t xml:space="preserve">6.3 Droits des utilisateurs</w:t>
      </w:r>
    </w:p>
    <w:p>
      <w:pPr>
        <w:spacing w:after="80" w:before="80"/>
      </w:pPr>
      <w:r>
        <w:rPr>
          <w:rFonts w:ascii="Arial" w:cs="Arial" w:eastAsia="Arial" w:hAnsi="Arial"/>
          <w:color w:val="333333"/>
          <w:sz w:val="22"/>
          <w:szCs w:val="22"/>
        </w:rPr>
        <w:t xml:space="preserve">Vous disposez des droits suivants sur vos données :</w:t>
      </w:r>
    </w:p>
    <w:p>
      <w:pPr>
        <w:pStyle w:val="ListParagraph"/>
        <w:numPr>
          <w:ilvl w:val="0"/>
          <w:numId w:val="2"/>
        </w:numPr>
        <w:spacing w:after="40" w:before="40"/>
      </w:pPr>
      <w:r>
        <w:rPr>
          <w:rFonts w:ascii="Arial" w:cs="Arial" w:eastAsia="Arial" w:hAnsi="Arial"/>
          <w:color w:val="333333"/>
          <w:sz w:val="22"/>
          <w:szCs w:val="22"/>
        </w:rPr>
        <w:t xml:space="preserve">Droit d’accès et de rectification</w:t>
      </w:r>
    </w:p>
    <w:p>
      <w:pPr>
        <w:pStyle w:val="ListParagraph"/>
        <w:numPr>
          <w:ilvl w:val="0"/>
          <w:numId w:val="2"/>
        </w:numPr>
        <w:spacing w:after="40" w:before="40"/>
      </w:pPr>
      <w:r>
        <w:rPr>
          <w:rFonts w:ascii="Arial" w:cs="Arial" w:eastAsia="Arial" w:hAnsi="Arial"/>
          <w:color w:val="333333"/>
          <w:sz w:val="22"/>
          <w:szCs w:val="22"/>
        </w:rPr>
        <w:t xml:space="preserve">Droit à l’effacement</w:t>
      </w:r>
    </w:p>
    <w:p>
      <w:pPr>
        <w:pStyle w:val="ListParagraph"/>
        <w:numPr>
          <w:ilvl w:val="0"/>
          <w:numId w:val="2"/>
        </w:numPr>
        <w:spacing w:after="40" w:before="40"/>
      </w:pPr>
      <w:r>
        <w:rPr>
          <w:rFonts w:ascii="Arial" w:cs="Arial" w:eastAsia="Arial" w:hAnsi="Arial"/>
          <w:color w:val="333333"/>
          <w:sz w:val="22"/>
          <w:szCs w:val="22"/>
        </w:rPr>
        <w:t xml:space="preserve">Droit à la limitation du traitement</w:t>
      </w:r>
    </w:p>
    <w:p>
      <w:pPr>
        <w:pStyle w:val="ListParagraph"/>
        <w:numPr>
          <w:ilvl w:val="0"/>
          <w:numId w:val="2"/>
        </w:numPr>
        <w:spacing w:after="40" w:before="40"/>
      </w:pPr>
      <w:r>
        <w:rPr>
          <w:rFonts w:ascii="Arial" w:cs="Arial" w:eastAsia="Arial" w:hAnsi="Arial"/>
          <w:color w:val="333333"/>
          <w:sz w:val="22"/>
          <w:szCs w:val="22"/>
        </w:rPr>
        <w:t xml:space="preserve">Droit à la portabilité</w:t>
      </w:r>
    </w:p>
    <w:p>
      <w:pPr>
        <w:pStyle w:val="ListParagraph"/>
        <w:numPr>
          <w:ilvl w:val="0"/>
          <w:numId w:val="2"/>
        </w:numPr>
        <w:spacing w:after="40" w:before="40"/>
      </w:pPr>
      <w:r>
        <w:rPr>
          <w:rFonts w:ascii="Arial" w:cs="Arial" w:eastAsia="Arial" w:hAnsi="Arial"/>
          <w:color w:val="333333"/>
          <w:sz w:val="22"/>
          <w:szCs w:val="22"/>
        </w:rPr>
        <w:t xml:space="preserve">Droit d’opposition</w:t>
      </w:r>
    </w:p>
    <w:p>
      <w:pPr>
        <w:spacing w:after="80" w:before="80"/>
      </w:pPr>
      <w:r>
        <w:rPr>
          <w:rFonts w:ascii="Arial" w:cs="Arial" w:eastAsia="Arial" w:hAnsi="Arial"/>
          <w:color w:val="333333"/>
          <w:sz w:val="22"/>
          <w:szCs w:val="22"/>
        </w:rPr>
        <w:t xml:space="preserve">Pour exercer ces droits, contactez-nous à : contact@guidedesbrunchs.ch</w:t>
      </w:r>
    </w:p>
    <w:p>
      <w:pPr>
        <w:pBdr>
          <w:bottom w:val="single" w:color="e0d5c5" w:sz="4" w:space="1"/>
        </w:pBdr>
        <w:spacing w:after="200" w:before="200"/>
      </w:pPr>
      <w:r>
        <w:t xml:space="preserve"/>
      </w:r>
    </w:p>
    <w:p>
      <w:pPr>
        <w:pStyle w:val="Heading1"/>
        <w:spacing w:after="120" w:before="360"/>
      </w:pPr>
      <w:r>
        <w:rPr>
          <w:rFonts w:ascii="Arial" w:cs="Arial" w:eastAsia="Arial" w:hAnsi="Arial"/>
          <w:b/>
          <w:bCs/>
          <w:color w:val="3d2b1f"/>
          <w:sz w:val="28"/>
          <w:szCs w:val="28"/>
        </w:rPr>
        <w:t xml:space="preserve">7. Cookies</w:t>
      </w:r>
    </w:p>
    <w:p>
      <w:pPr>
        <w:spacing w:after="80" w:before="80"/>
      </w:pPr>
      <w:r>
        <w:rPr>
          <w:rFonts w:ascii="Arial" w:cs="Arial" w:eastAsia="Arial" w:hAnsi="Arial"/>
          <w:color w:val="333333"/>
          <w:sz w:val="22"/>
          <w:szCs w:val="22"/>
        </w:rPr>
        <w:t xml:space="preserve">Le site utilise des cookies afin d’analyser le trafic et d’améliorer l’expérience de navigation. Les cookies non essentiels ne sont déposés qu’avec votre consentement.</w:t>
      </w:r>
    </w:p>
    <w:p>
      <w:pPr>
        <w:spacing w:after="80" w:before="80"/>
      </w:pPr>
      <w:r>
        <w:rPr>
          <w:rFonts w:ascii="Arial" w:cs="Arial" w:eastAsia="Arial" w:hAnsi="Arial"/>
          <w:color w:val="333333"/>
          <w:sz w:val="22"/>
          <w:szCs w:val="22"/>
        </w:rPr>
        <w:t xml:space="preserve">Vous pouvez gérer ou désactiver les cookies à tout moment via les paramètres de votre navigateur. Certaines fonctionnalités du site peuvent être affectées en cas de désactivation.</w:t>
      </w:r>
    </w:p>
    <w:p>
      <w:pPr>
        <w:pBdr>
          <w:bottom w:val="single" w:color="e0d5c5" w:sz="4" w:space="1"/>
        </w:pBdr>
        <w:spacing w:after="200" w:before="200"/>
      </w:pPr>
      <w:r>
        <w:t xml:space="preserve"/>
      </w:r>
    </w:p>
    <w:p>
      <w:pPr>
        <w:pStyle w:val="Heading1"/>
        <w:spacing w:after="120" w:before="360"/>
      </w:pPr>
      <w:r>
        <w:rPr>
          <w:rFonts w:ascii="Arial" w:cs="Arial" w:eastAsia="Arial" w:hAnsi="Arial"/>
          <w:b/>
          <w:bCs/>
          <w:color w:val="3d2b1f"/>
          <w:sz w:val="28"/>
          <w:szCs w:val="28"/>
        </w:rPr>
        <w:t xml:space="preserve">8. Liens externes</w:t>
      </w:r>
    </w:p>
    <w:p>
      <w:pPr>
        <w:spacing w:after="80" w:before="80"/>
      </w:pPr>
      <w:r>
        <w:rPr>
          <w:rFonts w:ascii="Arial" w:cs="Arial" w:eastAsia="Arial" w:hAnsi="Arial"/>
          <w:color w:val="333333"/>
          <w:sz w:val="22"/>
          <w:szCs w:val="22"/>
        </w:rPr>
        <w:t xml:space="preserve">Le site peut contenir des liens vers des sites tiers. Guide des Brunchs n’exerce aucun contrôle sur ces sites et décline toute responsabilité quant à leur contenu, leur disponibilité ou leur politique de confidentialité.</w:t>
      </w:r>
    </w:p>
    <w:p>
      <w:pPr>
        <w:pBdr>
          <w:bottom w:val="single" w:color="e0d5c5" w:sz="4" w:space="1"/>
        </w:pBdr>
        <w:spacing w:after="200" w:before="200"/>
      </w:pPr>
      <w:r>
        <w:t xml:space="preserve"/>
      </w:r>
    </w:p>
    <w:p>
      <w:pPr>
        <w:pStyle w:val="Heading1"/>
        <w:spacing w:after="120" w:before="360"/>
      </w:pPr>
      <w:r>
        <w:rPr>
          <w:rFonts w:ascii="Arial" w:cs="Arial" w:eastAsia="Arial" w:hAnsi="Arial"/>
          <w:b/>
          <w:bCs/>
          <w:color w:val="3d2b1f"/>
          <w:sz w:val="28"/>
          <w:szCs w:val="28"/>
        </w:rPr>
        <w:t xml:space="preserve">9. Limitation de responsabilité</w:t>
      </w:r>
    </w:p>
    <w:p>
      <w:pPr>
        <w:spacing w:after="80" w:before="80"/>
      </w:pPr>
      <w:r>
        <w:rPr>
          <w:rFonts w:ascii="Arial" w:cs="Arial" w:eastAsia="Arial" w:hAnsi="Arial"/>
          <w:color w:val="333333"/>
          <w:sz w:val="22"/>
          <w:szCs w:val="22"/>
        </w:rPr>
        <w:t xml:space="preserve">La responsabilité de Guide des Brunchs ne saurait être engagée en cas de :</w:t>
      </w:r>
    </w:p>
    <w:p>
      <w:pPr>
        <w:pStyle w:val="ListParagraph"/>
        <w:numPr>
          <w:ilvl w:val="0"/>
          <w:numId w:val="2"/>
        </w:numPr>
        <w:spacing w:after="40" w:before="40"/>
      </w:pPr>
      <w:r>
        <w:rPr>
          <w:rFonts w:ascii="Arial" w:cs="Arial" w:eastAsia="Arial" w:hAnsi="Arial"/>
          <w:color w:val="333333"/>
          <w:sz w:val="22"/>
          <w:szCs w:val="22"/>
        </w:rPr>
        <w:t xml:space="preserve">Erreur ou omission dans les informations publiées</w:t>
      </w:r>
    </w:p>
    <w:p>
      <w:pPr>
        <w:pStyle w:val="ListParagraph"/>
        <w:numPr>
          <w:ilvl w:val="0"/>
          <w:numId w:val="2"/>
        </w:numPr>
        <w:spacing w:after="40" w:before="40"/>
      </w:pPr>
      <w:r>
        <w:rPr>
          <w:rFonts w:ascii="Arial" w:cs="Arial" w:eastAsia="Arial" w:hAnsi="Arial"/>
          <w:color w:val="333333"/>
          <w:sz w:val="22"/>
          <w:szCs w:val="22"/>
        </w:rPr>
        <w:t xml:space="preserve">Préjudice direct ou indirect résultant de l’utilisation du site</w:t>
      </w:r>
    </w:p>
    <w:p>
      <w:pPr>
        <w:pStyle w:val="ListParagraph"/>
        <w:numPr>
          <w:ilvl w:val="0"/>
          <w:numId w:val="2"/>
        </w:numPr>
        <w:spacing w:after="40" w:before="40"/>
      </w:pPr>
      <w:r>
        <w:rPr>
          <w:rFonts w:ascii="Arial" w:cs="Arial" w:eastAsia="Arial" w:hAnsi="Arial"/>
          <w:color w:val="333333"/>
          <w:sz w:val="22"/>
          <w:szCs w:val="22"/>
        </w:rPr>
        <w:t xml:space="preserve">Interruption ou indisponibilité du site</w:t>
      </w:r>
    </w:p>
    <w:p>
      <w:pPr>
        <w:pStyle w:val="ListParagraph"/>
        <w:numPr>
          <w:ilvl w:val="0"/>
          <w:numId w:val="2"/>
        </w:numPr>
        <w:spacing w:after="40" w:before="40"/>
      </w:pPr>
      <w:r>
        <w:rPr>
          <w:rFonts w:ascii="Arial" w:cs="Arial" w:eastAsia="Arial" w:hAnsi="Arial"/>
          <w:color w:val="333333"/>
          <w:sz w:val="22"/>
          <w:szCs w:val="22"/>
        </w:rPr>
        <w:t xml:space="preserve">Décision prise par l’utilisateur sur la base des informations publiées</w:t>
      </w:r>
    </w:p>
    <w:p>
      <w:pPr>
        <w:pStyle w:val="ListParagraph"/>
        <w:numPr>
          <w:ilvl w:val="0"/>
          <w:numId w:val="2"/>
        </w:numPr>
        <w:spacing w:after="40" w:before="40"/>
      </w:pPr>
      <w:r>
        <w:rPr>
          <w:rFonts w:ascii="Arial" w:cs="Arial" w:eastAsia="Arial" w:hAnsi="Arial"/>
          <w:color w:val="333333"/>
          <w:sz w:val="22"/>
          <w:szCs w:val="22"/>
        </w:rPr>
        <w:t xml:space="preserve">Contenu des sites tiers accessibles via des liens</w:t>
      </w:r>
    </w:p>
    <w:p>
      <w:pPr>
        <w:pBdr>
          <w:bottom w:val="single" w:color="e0d5c5" w:sz="4" w:space="1"/>
        </w:pBdr>
        <w:spacing w:after="200" w:before="200"/>
      </w:pPr>
      <w:r>
        <w:t xml:space="preserve"/>
      </w:r>
    </w:p>
    <w:p>
      <w:pPr>
        <w:spacing w:after="0" w:before="200"/>
        <w:jc w:val="center"/>
      </w:pPr>
      <w:r>
        <w:rPr>
          <w:rFonts w:ascii="Arial" w:cs="Arial" w:eastAsia="Arial" w:hAnsi="Arial"/>
          <w:i/>
          <w:iCs/>
          <w:color w:val="9a7b5a"/>
          <w:sz w:val="18"/>
          <w:szCs w:val="18"/>
        </w:rPr>
        <w:t xml:space="preserve">© 2025 Guide des Brunchs — Tous droits réservés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2026-04-02T10:09:27.265Z</dcterms:created>
  <dcterms:modified xsi:type="dcterms:W3CDTF">2026-04-02T10:09:27.266Z</dcterms:modified>
</cp:coreProperties>
</file>

<file path=docProps/custom.xml><?xml version="1.0" encoding="utf-8"?>
<Properties xmlns="http://schemas.openxmlformats.org/officeDocument/2006/custom-properties" xmlns:vt="http://schemas.openxmlformats.org/officeDocument/2006/docPropsVTypes"/>
</file>